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B9" w:rsidRPr="00382B3B" w:rsidRDefault="00D33CB9" w:rsidP="00D33CB9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附件2：</w:t>
      </w:r>
    </w:p>
    <w:p w:rsidR="00D33CB9" w:rsidRDefault="00D33CB9" w:rsidP="00D33CB9">
      <w:pPr>
        <w:spacing w:line="600" w:lineRule="exact"/>
        <w:ind w:firstLineChars="250" w:firstLine="1104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bookmarkStart w:id="0" w:name="_GoBack"/>
      <w:bookmarkEnd w:id="0"/>
    </w:p>
    <w:p w:rsidR="00D33CB9" w:rsidRPr="00382B3B" w:rsidRDefault="00D33CB9" w:rsidP="00D33CB9">
      <w:pPr>
        <w:spacing w:line="600" w:lineRule="exact"/>
        <w:ind w:firstLineChars="250" w:firstLine="1104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 w:rsidRPr="00382B3B">
        <w:rPr>
          <w:rFonts w:ascii="方正小标宋简体" w:eastAsia="方正小标宋简体" w:hAnsi="方正小标宋简体" w:cs="方正小标宋简体"/>
          <w:b/>
          <w:sz w:val="44"/>
          <w:szCs w:val="44"/>
        </w:rPr>
        <w:t>北京</w:t>
      </w:r>
      <w:r w:rsidRPr="00382B3B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未来城市设计高精尖创新中心</w:t>
      </w:r>
    </w:p>
    <w:p w:rsidR="00D33CB9" w:rsidRPr="00382B3B" w:rsidRDefault="00D33CB9" w:rsidP="00D33CB9">
      <w:pPr>
        <w:spacing w:line="600" w:lineRule="exact"/>
        <w:ind w:firstLineChars="550" w:firstLine="2429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proofErr w:type="gramStart"/>
      <w:r w:rsidRPr="00382B3B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外拨经费</w:t>
      </w:r>
      <w:proofErr w:type="gramEnd"/>
      <w:r w:rsidRPr="00382B3B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管理办法</w:t>
      </w:r>
    </w:p>
    <w:p w:rsidR="00D33CB9" w:rsidRPr="00382B3B" w:rsidRDefault="00D33CB9" w:rsidP="00D33CB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33CB9" w:rsidRPr="00382B3B" w:rsidRDefault="00D33CB9" w:rsidP="00D33CB9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82B3B">
        <w:rPr>
          <w:rFonts w:ascii="仿宋_GB2312" w:eastAsia="仿宋_GB2312" w:hAnsi="仿宋_GB2312" w:cs="仿宋_GB2312" w:hint="eastAsia"/>
          <w:sz w:val="32"/>
          <w:szCs w:val="32"/>
        </w:rPr>
        <w:t>为了规范北京建筑大学未来城市设计高精尖创新中心（以下简称高精尖中心）</w:t>
      </w:r>
      <w:proofErr w:type="gramStart"/>
      <w:r w:rsidRPr="00382B3B">
        <w:rPr>
          <w:rFonts w:ascii="仿宋_GB2312" w:eastAsia="仿宋_GB2312" w:hAnsi="仿宋_GB2312" w:cs="仿宋_GB2312" w:hint="eastAsia"/>
          <w:sz w:val="32"/>
          <w:szCs w:val="32"/>
        </w:rPr>
        <w:t>经费外拨管理</w:t>
      </w:r>
      <w:proofErr w:type="gramEnd"/>
      <w:r w:rsidRPr="00382B3B">
        <w:rPr>
          <w:rFonts w:ascii="仿宋_GB2312" w:eastAsia="仿宋_GB2312" w:hAnsi="仿宋_GB2312" w:cs="仿宋_GB2312" w:hint="eastAsia"/>
          <w:sz w:val="32"/>
          <w:szCs w:val="32"/>
        </w:rPr>
        <w:t>，保证经费的合理使用，依据《中共中央办公厅 国务院办公厅印发&lt;关于进一步完善中央财政科研项目资金管理等政策的若干意见&gt;的</w:t>
      </w:r>
      <w:r w:rsidRPr="00382B3B">
        <w:rPr>
          <w:rFonts w:ascii="仿宋_GB2312" w:eastAsia="仿宋_GB2312" w:hAnsi="仿宋_GB2312" w:cs="仿宋_GB2312"/>
          <w:sz w:val="32"/>
          <w:szCs w:val="32"/>
        </w:rPr>
        <w:t>通知》</w:t>
      </w:r>
      <w:r w:rsidRPr="00382B3B">
        <w:rPr>
          <w:rFonts w:ascii="仿宋_GB2312" w:eastAsia="仿宋_GB2312" w:hAnsi="仿宋_GB2312" w:cs="仿宋_GB2312" w:hint="eastAsia"/>
          <w:sz w:val="32"/>
          <w:szCs w:val="32"/>
        </w:rPr>
        <w:t>（中办发〔2016〕50号）和《北京建筑大学科研经费管理办法》（北建大校发〔2016〕20 号），结合我校高精尖中心实际情况，特制订本办法。</w:t>
      </w:r>
    </w:p>
    <w:p w:rsidR="00D33CB9" w:rsidRPr="00382B3B" w:rsidRDefault="00D33CB9" w:rsidP="00D33CB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82B3B">
        <w:rPr>
          <w:rFonts w:ascii="仿宋_GB2312" w:eastAsia="仿宋_GB2312" w:hAnsi="仿宋_GB2312" w:cs="仿宋_GB2312" w:hint="eastAsia"/>
          <w:sz w:val="32"/>
          <w:szCs w:val="32"/>
        </w:rPr>
        <w:t xml:space="preserve">第一条 </w:t>
      </w:r>
      <w:proofErr w:type="gramStart"/>
      <w:r w:rsidRPr="00382B3B">
        <w:rPr>
          <w:rFonts w:ascii="仿宋_GB2312" w:eastAsia="仿宋_GB2312" w:hAnsi="仿宋_GB2312" w:cs="仿宋_GB2312" w:hint="eastAsia"/>
          <w:sz w:val="32"/>
          <w:szCs w:val="32"/>
        </w:rPr>
        <w:t>外</w:t>
      </w:r>
      <w:r w:rsidRPr="00382B3B">
        <w:rPr>
          <w:rFonts w:ascii="仿宋_GB2312" w:eastAsia="仿宋_GB2312" w:hAnsi="仿宋_GB2312" w:cs="仿宋_GB2312"/>
          <w:sz w:val="32"/>
          <w:szCs w:val="32"/>
        </w:rPr>
        <w:t>拨经费</w:t>
      </w:r>
      <w:proofErr w:type="gramEnd"/>
      <w:r w:rsidRPr="00382B3B">
        <w:rPr>
          <w:rFonts w:ascii="仿宋_GB2312" w:eastAsia="仿宋_GB2312" w:hAnsi="仿宋_GB2312" w:cs="仿宋_GB2312" w:hint="eastAsia"/>
          <w:sz w:val="32"/>
          <w:szCs w:val="32"/>
        </w:rPr>
        <w:t>是</w:t>
      </w:r>
      <w:r w:rsidRPr="00382B3B">
        <w:rPr>
          <w:rFonts w:ascii="仿宋_GB2312" w:eastAsia="仿宋_GB2312" w:hAnsi="仿宋_GB2312" w:cs="仿宋_GB2312"/>
          <w:sz w:val="32"/>
          <w:szCs w:val="32"/>
        </w:rPr>
        <w:t>指在项目实施过程中，高精尖中心与国内外、校外单位或个人签订正式委托或合作合同，</w:t>
      </w:r>
      <w:proofErr w:type="gramStart"/>
      <w:r w:rsidRPr="00382B3B">
        <w:rPr>
          <w:rFonts w:ascii="仿宋_GB2312" w:eastAsia="仿宋_GB2312" w:hAnsi="仿宋_GB2312" w:cs="仿宋_GB2312"/>
          <w:sz w:val="32"/>
          <w:szCs w:val="32"/>
        </w:rPr>
        <w:t>须外拨至</w:t>
      </w:r>
      <w:proofErr w:type="gramEnd"/>
      <w:r w:rsidRPr="00382B3B">
        <w:rPr>
          <w:rFonts w:ascii="仿宋_GB2312" w:eastAsia="仿宋_GB2312" w:hAnsi="仿宋_GB2312" w:cs="仿宋_GB2312"/>
          <w:sz w:val="32"/>
          <w:szCs w:val="32"/>
        </w:rPr>
        <w:t>受托或合作单位的</w:t>
      </w:r>
      <w:r w:rsidRPr="00382B3B"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 w:rsidRPr="00382B3B">
        <w:rPr>
          <w:rFonts w:ascii="仿宋_GB2312" w:eastAsia="仿宋_GB2312" w:hAnsi="仿宋_GB2312" w:cs="仿宋_GB2312"/>
          <w:sz w:val="32"/>
          <w:szCs w:val="32"/>
        </w:rPr>
        <w:t>经费。</w:t>
      </w:r>
    </w:p>
    <w:p w:rsidR="00D33CB9" w:rsidRPr="00382B3B" w:rsidRDefault="00D33CB9" w:rsidP="00D33CB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82B3B">
        <w:rPr>
          <w:rFonts w:ascii="仿宋_GB2312" w:eastAsia="仿宋_GB2312" w:hAnsi="仿宋_GB2312" w:cs="仿宋_GB2312" w:hint="eastAsia"/>
          <w:sz w:val="32"/>
          <w:szCs w:val="32"/>
        </w:rPr>
        <w:t xml:space="preserve">第二条 </w:t>
      </w:r>
      <w:proofErr w:type="gramStart"/>
      <w:r w:rsidRPr="00382B3B">
        <w:rPr>
          <w:rFonts w:ascii="仿宋_GB2312" w:eastAsia="仿宋_GB2312" w:hAnsi="仿宋_GB2312" w:cs="仿宋_GB2312" w:hint="eastAsia"/>
          <w:sz w:val="32"/>
          <w:szCs w:val="32"/>
        </w:rPr>
        <w:t>外拨经费</w:t>
      </w:r>
      <w:proofErr w:type="gramEnd"/>
      <w:r w:rsidRPr="00382B3B">
        <w:rPr>
          <w:rFonts w:ascii="仿宋_GB2312" w:eastAsia="仿宋_GB2312" w:hAnsi="仿宋_GB2312" w:cs="仿宋_GB2312" w:hint="eastAsia"/>
          <w:sz w:val="32"/>
          <w:szCs w:val="32"/>
        </w:rPr>
        <w:t>须以合同书为依据，按照约定的经费额度、拨付方式、开户银行和账号等条款办理委托（合作）单位应提供收款单位统一社会信用代码等相关资料，项目负责人</w:t>
      </w:r>
      <w:proofErr w:type="gramStart"/>
      <w:r w:rsidRPr="00382B3B">
        <w:rPr>
          <w:rFonts w:ascii="仿宋_GB2312" w:eastAsia="仿宋_GB2312" w:hAnsi="仿宋_GB2312" w:cs="仿宋_GB2312" w:hint="eastAsia"/>
          <w:sz w:val="32"/>
          <w:szCs w:val="32"/>
        </w:rPr>
        <w:t>是外拨经费</w:t>
      </w:r>
      <w:proofErr w:type="gramEnd"/>
      <w:r w:rsidRPr="00382B3B">
        <w:rPr>
          <w:rFonts w:ascii="仿宋_GB2312" w:eastAsia="仿宋_GB2312" w:hAnsi="仿宋_GB2312" w:cs="仿宋_GB2312" w:hint="eastAsia"/>
          <w:sz w:val="32"/>
          <w:szCs w:val="32"/>
        </w:rPr>
        <w:t>使用和管理的直接责任人，应</w:t>
      </w:r>
      <w:r w:rsidRPr="00382B3B">
        <w:rPr>
          <w:rFonts w:ascii="仿宋_GB2312" w:eastAsia="仿宋_GB2312" w:hAnsi="仿宋_GB2312" w:cs="仿宋_GB2312"/>
          <w:sz w:val="32"/>
          <w:szCs w:val="32"/>
        </w:rPr>
        <w:t>确保</w:t>
      </w:r>
      <w:proofErr w:type="gramStart"/>
      <w:r w:rsidRPr="00382B3B">
        <w:rPr>
          <w:rFonts w:ascii="仿宋_GB2312" w:eastAsia="仿宋_GB2312" w:hAnsi="仿宋_GB2312" w:cs="仿宋_GB2312" w:hint="eastAsia"/>
          <w:sz w:val="32"/>
          <w:szCs w:val="32"/>
        </w:rPr>
        <w:t>该</w:t>
      </w:r>
      <w:r w:rsidRPr="00382B3B">
        <w:rPr>
          <w:rFonts w:ascii="仿宋_GB2312" w:eastAsia="仿宋_GB2312" w:hAnsi="仿宋_GB2312" w:cs="仿宋_GB2312"/>
          <w:sz w:val="32"/>
          <w:szCs w:val="32"/>
        </w:rPr>
        <w:t>外拨</w:t>
      </w:r>
      <w:proofErr w:type="gramEnd"/>
      <w:r w:rsidRPr="00382B3B">
        <w:rPr>
          <w:rFonts w:ascii="仿宋_GB2312" w:eastAsia="仿宋_GB2312" w:hAnsi="仿宋_GB2312" w:cs="仿宋_GB2312"/>
          <w:sz w:val="32"/>
          <w:szCs w:val="32"/>
        </w:rPr>
        <w:t>经费严格按照</w:t>
      </w:r>
      <w:r w:rsidRPr="00382B3B">
        <w:rPr>
          <w:rFonts w:ascii="仿宋_GB2312" w:eastAsia="仿宋_GB2312" w:hAnsi="仿宋_GB2312" w:cs="仿宋_GB2312" w:hint="eastAsia"/>
          <w:sz w:val="32"/>
          <w:szCs w:val="32"/>
        </w:rPr>
        <w:t>有关管理规定执行，并对委托（合作）业务的真实性和相关性负责，同时主动接受相关部门的监督与审计，并承担相应的法律风险和法律</w:t>
      </w:r>
      <w:r w:rsidRPr="00382B3B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责任。</w:t>
      </w:r>
    </w:p>
    <w:p w:rsidR="00D33CB9" w:rsidRPr="00382B3B" w:rsidRDefault="00D33CB9" w:rsidP="00D33CB9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82B3B">
        <w:rPr>
          <w:rFonts w:ascii="仿宋_GB2312" w:eastAsia="仿宋_GB2312" w:hAnsi="仿宋_GB2312" w:cs="仿宋_GB2312" w:hint="eastAsia"/>
          <w:sz w:val="32"/>
          <w:szCs w:val="32"/>
        </w:rPr>
        <w:t>第</w:t>
      </w:r>
      <w:r w:rsidRPr="00382B3B">
        <w:rPr>
          <w:rFonts w:ascii="仿宋_GB2312" w:eastAsia="仿宋_GB2312" w:hAnsi="仿宋_GB2312" w:cs="仿宋_GB2312"/>
          <w:sz w:val="32"/>
          <w:szCs w:val="32"/>
        </w:rPr>
        <w:t>三条</w:t>
      </w:r>
      <w:r w:rsidRPr="00382B3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Pr="00382B3B">
        <w:rPr>
          <w:rFonts w:ascii="仿宋_GB2312" w:eastAsia="仿宋_GB2312" w:hAnsi="仿宋_GB2312" w:cs="仿宋_GB2312" w:hint="eastAsia"/>
          <w:sz w:val="32"/>
          <w:szCs w:val="32"/>
        </w:rPr>
        <w:t>外拨</w:t>
      </w:r>
      <w:r w:rsidRPr="00382B3B">
        <w:rPr>
          <w:rFonts w:ascii="仿宋_GB2312" w:eastAsia="仿宋_GB2312" w:hAnsi="仿宋_GB2312" w:cs="仿宋_GB2312"/>
          <w:sz w:val="32"/>
          <w:szCs w:val="32"/>
        </w:rPr>
        <w:t>经费</w:t>
      </w:r>
      <w:proofErr w:type="gramEnd"/>
      <w:r w:rsidRPr="00382B3B">
        <w:rPr>
          <w:rFonts w:ascii="仿宋_GB2312" w:eastAsia="仿宋_GB2312" w:hAnsi="仿宋_GB2312" w:cs="仿宋_GB2312"/>
          <w:sz w:val="32"/>
          <w:szCs w:val="32"/>
        </w:rPr>
        <w:t>合同书</w:t>
      </w:r>
      <w:r w:rsidRPr="00382B3B">
        <w:rPr>
          <w:rFonts w:ascii="仿宋_GB2312" w:eastAsia="仿宋_GB2312" w:hAnsi="仿宋_GB2312" w:cs="仿宋_GB2312" w:hint="eastAsia"/>
          <w:sz w:val="32"/>
          <w:szCs w:val="32"/>
        </w:rPr>
        <w:t>应</w:t>
      </w:r>
      <w:r w:rsidRPr="00382B3B">
        <w:rPr>
          <w:rFonts w:ascii="仿宋_GB2312" w:eastAsia="仿宋_GB2312" w:hAnsi="仿宋_GB2312" w:cs="仿宋_GB2312"/>
          <w:sz w:val="32"/>
          <w:szCs w:val="32"/>
        </w:rPr>
        <w:t>包括承担</w:t>
      </w:r>
      <w:r w:rsidRPr="00382B3B">
        <w:rPr>
          <w:rFonts w:ascii="仿宋_GB2312" w:eastAsia="仿宋_GB2312" w:hAnsi="仿宋_GB2312" w:cs="仿宋_GB2312" w:hint="eastAsia"/>
          <w:sz w:val="32"/>
          <w:szCs w:val="32"/>
        </w:rPr>
        <w:t>单位名称、项目</w:t>
      </w:r>
      <w:r w:rsidRPr="00382B3B">
        <w:rPr>
          <w:rFonts w:ascii="仿宋_GB2312" w:eastAsia="仿宋_GB2312" w:hAnsi="仿宋_GB2312" w:cs="仿宋_GB2312"/>
          <w:sz w:val="32"/>
          <w:szCs w:val="32"/>
        </w:rPr>
        <w:t>（</w:t>
      </w:r>
      <w:r w:rsidRPr="00382B3B">
        <w:rPr>
          <w:rFonts w:ascii="仿宋_GB2312" w:eastAsia="仿宋_GB2312" w:hAnsi="仿宋_GB2312" w:cs="仿宋_GB2312" w:hint="eastAsia"/>
          <w:sz w:val="32"/>
          <w:szCs w:val="32"/>
        </w:rPr>
        <w:t>课题）名称、负责人、研究内容、考核</w:t>
      </w:r>
      <w:r w:rsidRPr="00382B3B">
        <w:rPr>
          <w:rFonts w:ascii="仿宋_GB2312" w:eastAsia="仿宋_GB2312" w:hAnsi="仿宋_GB2312" w:cs="仿宋_GB2312"/>
          <w:sz w:val="32"/>
          <w:szCs w:val="32"/>
        </w:rPr>
        <w:t>指标、</w:t>
      </w:r>
      <w:r w:rsidRPr="00382B3B">
        <w:rPr>
          <w:rFonts w:ascii="仿宋_GB2312" w:eastAsia="仿宋_GB2312" w:hAnsi="仿宋_GB2312" w:cs="仿宋_GB2312" w:hint="eastAsia"/>
          <w:sz w:val="32"/>
          <w:szCs w:val="32"/>
        </w:rPr>
        <w:t>知识</w:t>
      </w:r>
      <w:r w:rsidRPr="00382B3B">
        <w:rPr>
          <w:rFonts w:ascii="仿宋_GB2312" w:eastAsia="仿宋_GB2312" w:hAnsi="仿宋_GB2312" w:cs="仿宋_GB2312"/>
          <w:sz w:val="32"/>
          <w:szCs w:val="32"/>
        </w:rPr>
        <w:t>产权</w:t>
      </w:r>
      <w:r w:rsidRPr="00382B3B">
        <w:rPr>
          <w:rFonts w:ascii="仿宋_GB2312" w:eastAsia="仿宋_GB2312" w:hAnsi="仿宋_GB2312" w:cs="仿宋_GB2312" w:hint="eastAsia"/>
          <w:sz w:val="32"/>
          <w:szCs w:val="32"/>
        </w:rPr>
        <w:t>权属</w:t>
      </w:r>
      <w:r w:rsidRPr="00382B3B">
        <w:rPr>
          <w:rFonts w:ascii="仿宋_GB2312" w:eastAsia="仿宋_GB2312" w:hAnsi="仿宋_GB2312" w:cs="仿宋_GB2312"/>
          <w:sz w:val="32"/>
          <w:szCs w:val="32"/>
        </w:rPr>
        <w:t>约定、</w:t>
      </w:r>
      <w:r w:rsidRPr="00382B3B">
        <w:rPr>
          <w:rFonts w:ascii="仿宋_GB2312" w:eastAsia="仿宋_GB2312" w:hAnsi="仿宋_GB2312" w:cs="仿宋_GB2312" w:hint="eastAsia"/>
          <w:sz w:val="32"/>
          <w:szCs w:val="32"/>
        </w:rPr>
        <w:t>经费预算及拨付方式、项目</w:t>
      </w:r>
      <w:r w:rsidRPr="00382B3B">
        <w:rPr>
          <w:rFonts w:ascii="仿宋_GB2312" w:eastAsia="仿宋_GB2312" w:hAnsi="仿宋_GB2312" w:cs="仿宋_GB2312"/>
          <w:sz w:val="32"/>
          <w:szCs w:val="32"/>
        </w:rPr>
        <w:t>（课题）起止时间、</w:t>
      </w:r>
      <w:r w:rsidRPr="00382B3B">
        <w:rPr>
          <w:rFonts w:ascii="仿宋_GB2312" w:eastAsia="仿宋_GB2312" w:hAnsi="仿宋_GB2312" w:cs="仿宋_GB2312" w:hint="eastAsia"/>
          <w:sz w:val="32"/>
          <w:szCs w:val="32"/>
        </w:rPr>
        <w:t>纠纷</w:t>
      </w:r>
      <w:r w:rsidRPr="00382B3B">
        <w:rPr>
          <w:rFonts w:ascii="仿宋_GB2312" w:eastAsia="仿宋_GB2312" w:hAnsi="仿宋_GB2312" w:cs="仿宋_GB2312"/>
          <w:sz w:val="32"/>
          <w:szCs w:val="32"/>
        </w:rPr>
        <w:t>处理方式</w:t>
      </w:r>
      <w:r w:rsidRPr="00382B3B">
        <w:rPr>
          <w:rFonts w:ascii="仿宋_GB2312" w:eastAsia="仿宋_GB2312" w:hAnsi="仿宋_GB2312" w:cs="仿宋_GB2312" w:hint="eastAsia"/>
          <w:sz w:val="32"/>
          <w:szCs w:val="32"/>
        </w:rPr>
        <w:t>等，办理拨款手续时，收款单位信息必须</w:t>
      </w:r>
      <w:r w:rsidRPr="00382B3B">
        <w:rPr>
          <w:rFonts w:ascii="仿宋_GB2312" w:eastAsia="仿宋_GB2312" w:hAnsi="仿宋_GB2312" w:cs="仿宋_GB2312"/>
          <w:sz w:val="32"/>
          <w:szCs w:val="32"/>
        </w:rPr>
        <w:t>与合同书一致。</w:t>
      </w:r>
    </w:p>
    <w:p w:rsidR="00D33CB9" w:rsidRPr="00382B3B" w:rsidRDefault="00D33CB9" w:rsidP="00D33CB9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82B3B">
        <w:rPr>
          <w:rFonts w:ascii="仿宋_GB2312" w:eastAsia="仿宋_GB2312" w:hAnsi="仿宋_GB2312" w:cs="仿宋_GB2312" w:hint="eastAsia"/>
          <w:sz w:val="32"/>
          <w:szCs w:val="32"/>
        </w:rPr>
        <w:t>第四</w:t>
      </w:r>
      <w:r w:rsidRPr="00382B3B">
        <w:rPr>
          <w:rFonts w:ascii="仿宋_GB2312" w:eastAsia="仿宋_GB2312" w:hAnsi="仿宋_GB2312" w:cs="仿宋_GB2312"/>
          <w:sz w:val="32"/>
          <w:szCs w:val="32"/>
        </w:rPr>
        <w:t xml:space="preserve">条 </w:t>
      </w:r>
      <w:proofErr w:type="gramStart"/>
      <w:r w:rsidRPr="00382B3B">
        <w:rPr>
          <w:rFonts w:ascii="仿宋_GB2312" w:eastAsia="仿宋_GB2312" w:hAnsi="仿宋_GB2312" w:cs="仿宋_GB2312" w:hint="eastAsia"/>
          <w:sz w:val="32"/>
          <w:szCs w:val="32"/>
        </w:rPr>
        <w:t>外拨经费</w:t>
      </w:r>
      <w:proofErr w:type="gramEnd"/>
      <w:r w:rsidRPr="00382B3B">
        <w:rPr>
          <w:rFonts w:ascii="仿宋_GB2312" w:eastAsia="仿宋_GB2312" w:hAnsi="仿宋_GB2312" w:cs="仿宋_GB2312"/>
          <w:sz w:val="32"/>
          <w:szCs w:val="32"/>
        </w:rPr>
        <w:t>须</w:t>
      </w:r>
      <w:r w:rsidRPr="00382B3B">
        <w:rPr>
          <w:rFonts w:ascii="仿宋_GB2312" w:eastAsia="仿宋_GB2312" w:hAnsi="仿宋_GB2312" w:cs="仿宋_GB2312" w:hint="eastAsia"/>
          <w:sz w:val="32"/>
          <w:szCs w:val="32"/>
        </w:rPr>
        <w:t>以</w:t>
      </w:r>
      <w:r w:rsidRPr="00382B3B">
        <w:rPr>
          <w:rFonts w:ascii="仿宋_GB2312" w:eastAsia="仿宋_GB2312" w:hAnsi="仿宋_GB2312" w:cs="仿宋_GB2312"/>
          <w:sz w:val="32"/>
          <w:szCs w:val="32"/>
        </w:rPr>
        <w:t>当年高精尖中心</w:t>
      </w:r>
      <w:r w:rsidRPr="00382B3B">
        <w:rPr>
          <w:rFonts w:ascii="仿宋_GB2312" w:eastAsia="仿宋_GB2312" w:hAnsi="仿宋_GB2312" w:cs="仿宋_GB2312" w:hint="eastAsia"/>
          <w:sz w:val="32"/>
          <w:szCs w:val="32"/>
        </w:rPr>
        <w:t>获</w:t>
      </w:r>
      <w:r w:rsidRPr="00382B3B">
        <w:rPr>
          <w:rFonts w:ascii="仿宋_GB2312" w:eastAsia="仿宋_GB2312" w:hAnsi="仿宋_GB2312" w:cs="仿宋_GB2312"/>
          <w:sz w:val="32"/>
          <w:szCs w:val="32"/>
        </w:rPr>
        <w:t>批的经费</w:t>
      </w:r>
      <w:r w:rsidRPr="00382B3B">
        <w:rPr>
          <w:rFonts w:ascii="仿宋_GB2312" w:eastAsia="仿宋_GB2312" w:hAnsi="仿宋_GB2312" w:cs="仿宋_GB2312" w:hint="eastAsia"/>
          <w:sz w:val="32"/>
          <w:szCs w:val="32"/>
        </w:rPr>
        <w:t>预算</w:t>
      </w:r>
      <w:r w:rsidRPr="00382B3B">
        <w:rPr>
          <w:rFonts w:ascii="仿宋_GB2312" w:eastAsia="仿宋_GB2312" w:hAnsi="仿宋_GB2312" w:cs="仿宋_GB2312"/>
          <w:sz w:val="32"/>
          <w:szCs w:val="32"/>
        </w:rPr>
        <w:t>为</w:t>
      </w:r>
      <w:r w:rsidRPr="00382B3B">
        <w:rPr>
          <w:rFonts w:ascii="仿宋_GB2312" w:eastAsia="仿宋_GB2312" w:hAnsi="仿宋_GB2312" w:cs="仿宋_GB2312" w:hint="eastAsia"/>
          <w:sz w:val="32"/>
          <w:szCs w:val="32"/>
        </w:rPr>
        <w:t>依据</w:t>
      </w:r>
      <w:r w:rsidRPr="00382B3B">
        <w:rPr>
          <w:rFonts w:ascii="仿宋_GB2312" w:eastAsia="仿宋_GB2312" w:hAnsi="仿宋_GB2312" w:cs="仿宋_GB2312"/>
          <w:sz w:val="32"/>
          <w:szCs w:val="32"/>
        </w:rPr>
        <w:t>，</w:t>
      </w:r>
      <w:r w:rsidRPr="00382B3B">
        <w:rPr>
          <w:rFonts w:ascii="仿宋_GB2312" w:eastAsia="仿宋_GB2312" w:hAnsi="仿宋_GB2312" w:cs="仿宋_GB2312" w:hint="eastAsia"/>
          <w:sz w:val="32"/>
          <w:szCs w:val="32"/>
        </w:rPr>
        <w:t>按</w:t>
      </w:r>
      <w:r w:rsidRPr="00382B3B">
        <w:rPr>
          <w:rFonts w:ascii="仿宋_GB2312" w:eastAsia="仿宋_GB2312" w:hAnsi="仿宋_GB2312" w:cs="仿宋_GB2312"/>
          <w:sz w:val="32"/>
          <w:szCs w:val="32"/>
        </w:rPr>
        <w:t>照高</w:t>
      </w:r>
      <w:r w:rsidRPr="00382B3B">
        <w:rPr>
          <w:rFonts w:ascii="仿宋_GB2312" w:eastAsia="仿宋_GB2312" w:hAnsi="仿宋_GB2312" w:cs="仿宋_GB2312" w:hint="eastAsia"/>
          <w:sz w:val="32"/>
          <w:szCs w:val="32"/>
        </w:rPr>
        <w:t>精</w:t>
      </w:r>
      <w:r w:rsidRPr="00382B3B">
        <w:rPr>
          <w:rFonts w:ascii="仿宋_GB2312" w:eastAsia="仿宋_GB2312" w:hAnsi="仿宋_GB2312" w:cs="仿宋_GB2312"/>
          <w:sz w:val="32"/>
          <w:szCs w:val="32"/>
        </w:rPr>
        <w:t>尖中心的要求</w:t>
      </w:r>
      <w:r w:rsidRPr="00382B3B">
        <w:rPr>
          <w:rFonts w:ascii="仿宋_GB2312" w:eastAsia="仿宋_GB2312" w:hAnsi="仿宋_GB2312" w:cs="仿宋_GB2312" w:hint="eastAsia"/>
          <w:sz w:val="32"/>
          <w:szCs w:val="32"/>
        </w:rPr>
        <w:t>编制</w:t>
      </w:r>
      <w:r w:rsidRPr="00382B3B">
        <w:rPr>
          <w:rFonts w:ascii="仿宋_GB2312" w:eastAsia="仿宋_GB2312" w:hAnsi="仿宋_GB2312" w:cs="仿宋_GB2312"/>
          <w:sz w:val="32"/>
          <w:szCs w:val="32"/>
        </w:rPr>
        <w:t>，</w:t>
      </w:r>
      <w:r w:rsidRPr="00382B3B">
        <w:rPr>
          <w:rFonts w:ascii="仿宋_GB2312" w:eastAsia="仿宋_GB2312" w:hAnsi="仿宋_GB2312" w:cs="仿宋_GB2312" w:hint="eastAsia"/>
          <w:sz w:val="32"/>
          <w:szCs w:val="32"/>
        </w:rPr>
        <w:t>原</w:t>
      </w:r>
      <w:r w:rsidRPr="00382B3B">
        <w:rPr>
          <w:rFonts w:ascii="仿宋_GB2312" w:eastAsia="仿宋_GB2312" w:hAnsi="仿宋_GB2312" w:cs="仿宋_GB2312"/>
          <w:sz w:val="32"/>
          <w:szCs w:val="32"/>
        </w:rPr>
        <w:t>则上不能预算设备费。</w:t>
      </w:r>
    </w:p>
    <w:p w:rsidR="00D33CB9" w:rsidRPr="00382B3B" w:rsidRDefault="00D33CB9" w:rsidP="00D33CB9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82B3B">
        <w:rPr>
          <w:rFonts w:ascii="仿宋_GB2312" w:eastAsia="仿宋_GB2312" w:hAnsi="仿宋_GB2312" w:cs="仿宋_GB2312" w:hint="eastAsia"/>
          <w:sz w:val="32"/>
          <w:szCs w:val="32"/>
        </w:rPr>
        <w:t>第五条 办理经费</w:t>
      </w:r>
      <w:proofErr w:type="gramStart"/>
      <w:r w:rsidRPr="00382B3B">
        <w:rPr>
          <w:rFonts w:ascii="仿宋_GB2312" w:eastAsia="仿宋_GB2312" w:hAnsi="仿宋_GB2312" w:cs="仿宋_GB2312" w:hint="eastAsia"/>
          <w:sz w:val="32"/>
          <w:szCs w:val="32"/>
        </w:rPr>
        <w:t>外拨手续</w:t>
      </w:r>
      <w:proofErr w:type="gramEnd"/>
      <w:r w:rsidRPr="00382B3B">
        <w:rPr>
          <w:rFonts w:ascii="仿宋_GB2312" w:eastAsia="仿宋_GB2312" w:hAnsi="仿宋_GB2312" w:cs="仿宋_GB2312" w:hint="eastAsia"/>
          <w:sz w:val="32"/>
          <w:szCs w:val="32"/>
        </w:rPr>
        <w:t>时，由项目负责人按年度填写《北京未来城市设计高精尖创新中心外拨经费审批表》（附件3）并提交</w:t>
      </w:r>
      <w:r w:rsidRPr="00382B3B">
        <w:rPr>
          <w:rFonts w:ascii="仿宋_GB2312" w:eastAsia="仿宋_GB2312" w:hAnsi="仿宋_GB2312" w:cs="仿宋_GB2312"/>
          <w:sz w:val="32"/>
          <w:szCs w:val="32"/>
        </w:rPr>
        <w:t>到</w:t>
      </w:r>
      <w:r w:rsidRPr="00382B3B">
        <w:rPr>
          <w:rFonts w:ascii="仿宋_GB2312" w:eastAsia="仿宋_GB2312" w:hAnsi="仿宋_GB2312" w:cs="仿宋_GB2312" w:hint="eastAsia"/>
          <w:sz w:val="32"/>
          <w:szCs w:val="32"/>
        </w:rPr>
        <w:t>高精尖中心办公</w:t>
      </w:r>
      <w:r w:rsidRPr="00382B3B">
        <w:rPr>
          <w:rFonts w:ascii="仿宋_GB2312" w:eastAsia="仿宋_GB2312" w:hAnsi="仿宋_GB2312" w:cs="仿宋_GB2312"/>
          <w:sz w:val="32"/>
          <w:szCs w:val="32"/>
        </w:rPr>
        <w:t>室</w:t>
      </w:r>
      <w:r w:rsidRPr="00382B3B">
        <w:rPr>
          <w:rFonts w:ascii="仿宋_GB2312" w:eastAsia="仿宋_GB2312" w:hAnsi="仿宋_GB2312" w:cs="仿宋_GB2312" w:hint="eastAsia"/>
          <w:sz w:val="32"/>
          <w:szCs w:val="32"/>
        </w:rPr>
        <w:t>，</w:t>
      </w:r>
      <w:proofErr w:type="gramStart"/>
      <w:r w:rsidRPr="00382B3B">
        <w:rPr>
          <w:rFonts w:ascii="仿宋_GB2312" w:eastAsia="仿宋_GB2312" w:hAnsi="仿宋_GB2312" w:cs="仿宋_GB2312" w:hint="eastAsia"/>
          <w:sz w:val="32"/>
          <w:szCs w:val="32"/>
        </w:rPr>
        <w:t>外拨额度</w:t>
      </w:r>
      <w:proofErr w:type="gramEnd"/>
      <w:r w:rsidRPr="00382B3B">
        <w:rPr>
          <w:rFonts w:ascii="仿宋_GB2312" w:eastAsia="仿宋_GB2312" w:hAnsi="仿宋_GB2312" w:cs="仿宋_GB2312" w:hint="eastAsia"/>
          <w:sz w:val="32"/>
          <w:szCs w:val="32"/>
        </w:rPr>
        <w:t>单笔</w:t>
      </w:r>
      <w:r w:rsidRPr="00382B3B">
        <w:rPr>
          <w:rFonts w:ascii="仿宋_GB2312" w:eastAsia="仿宋_GB2312" w:hAnsi="仿宋_GB2312" w:cs="仿宋_GB2312"/>
          <w:sz w:val="32"/>
          <w:szCs w:val="32"/>
        </w:rPr>
        <w:t>5</w:t>
      </w:r>
      <w:r w:rsidRPr="00382B3B">
        <w:rPr>
          <w:rFonts w:ascii="仿宋_GB2312" w:eastAsia="仿宋_GB2312" w:hAnsi="仿宋_GB2312" w:cs="仿宋_GB2312" w:hint="eastAsia"/>
          <w:sz w:val="32"/>
          <w:szCs w:val="32"/>
        </w:rPr>
        <w:t>0万之内由高精尖中心办公室、科技处和财务处审批，单笔超过50万小于100万的高精尖中心办公室和科技处、财务处以及主管学校领导共同审批，单笔超过100万的还需报校长审批，然后进行拨付，具体由财务部门按照有关规定办理</w:t>
      </w:r>
      <w:proofErr w:type="gramStart"/>
      <w:r w:rsidRPr="00382B3B">
        <w:rPr>
          <w:rFonts w:ascii="仿宋_GB2312" w:eastAsia="仿宋_GB2312" w:hAnsi="仿宋_GB2312" w:cs="仿宋_GB2312" w:hint="eastAsia"/>
          <w:sz w:val="32"/>
          <w:szCs w:val="32"/>
        </w:rPr>
        <w:t>经费外拨手续</w:t>
      </w:r>
      <w:proofErr w:type="gramEnd"/>
      <w:r w:rsidRPr="00382B3B">
        <w:rPr>
          <w:rFonts w:ascii="仿宋_GB2312" w:eastAsia="仿宋_GB2312" w:hAnsi="仿宋_GB2312" w:cs="仿宋_GB2312" w:hint="eastAsia"/>
          <w:sz w:val="32"/>
          <w:szCs w:val="32"/>
        </w:rPr>
        <w:t>。经费一经批复，原则上不允许调整。</w:t>
      </w:r>
    </w:p>
    <w:p w:rsidR="00D33CB9" w:rsidRPr="00382B3B" w:rsidRDefault="00D33CB9" w:rsidP="00D33CB9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82B3B">
        <w:rPr>
          <w:rFonts w:ascii="仿宋_GB2312" w:eastAsia="仿宋_GB2312" w:hAnsi="仿宋_GB2312" w:cs="仿宋_GB2312" w:hint="eastAsia"/>
          <w:sz w:val="32"/>
          <w:szCs w:val="32"/>
        </w:rPr>
        <w:t>第六条 凡在拨款申请中私自更改收款单位名称、开户银行与账号的，或拨款使用性质与合同书规定不一致的，一经查出，将按经济违规案件论处，情节严重的将移送司法机关。</w:t>
      </w:r>
    </w:p>
    <w:p w:rsidR="00D33CB9" w:rsidRPr="00382B3B" w:rsidRDefault="00D33CB9" w:rsidP="00D33CB9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82B3B">
        <w:rPr>
          <w:rFonts w:ascii="仿宋_GB2312" w:eastAsia="仿宋_GB2312" w:hAnsi="仿宋_GB2312" w:cs="仿宋_GB2312" w:hint="eastAsia"/>
          <w:sz w:val="32"/>
          <w:szCs w:val="32"/>
        </w:rPr>
        <w:t>第七条 此办法仅适用于高精尖中心批准立项的</w:t>
      </w:r>
      <w:r w:rsidRPr="00382B3B">
        <w:rPr>
          <w:rFonts w:ascii="仿宋_GB2312" w:eastAsia="仿宋_GB2312" w:hAnsi="仿宋_GB2312" w:cs="仿宋_GB2312"/>
          <w:sz w:val="32"/>
          <w:szCs w:val="32"/>
        </w:rPr>
        <w:t>项目（课题</w:t>
      </w:r>
      <w:r w:rsidRPr="00382B3B">
        <w:rPr>
          <w:rFonts w:ascii="仿宋_GB2312" w:eastAsia="仿宋_GB2312" w:hAnsi="仿宋_GB2312" w:cs="仿宋_GB2312" w:hint="eastAsia"/>
          <w:sz w:val="32"/>
          <w:szCs w:val="32"/>
        </w:rPr>
        <w:t>以及团队</w:t>
      </w:r>
      <w:r w:rsidRPr="00382B3B">
        <w:rPr>
          <w:rFonts w:ascii="仿宋_GB2312" w:eastAsia="仿宋_GB2312" w:hAnsi="仿宋_GB2312" w:cs="仿宋_GB2312"/>
          <w:sz w:val="32"/>
          <w:szCs w:val="32"/>
        </w:rPr>
        <w:t>）</w:t>
      </w:r>
      <w:r w:rsidRPr="00382B3B">
        <w:rPr>
          <w:rFonts w:ascii="仿宋_GB2312" w:eastAsia="仿宋_GB2312" w:hAnsi="仿宋_GB2312" w:cs="仿宋_GB2312" w:hint="eastAsia"/>
          <w:sz w:val="32"/>
          <w:szCs w:val="32"/>
        </w:rPr>
        <w:t>，未尽事宜按国家和北京市财政专项</w:t>
      </w:r>
      <w:r w:rsidRPr="00382B3B">
        <w:rPr>
          <w:rFonts w:ascii="仿宋_GB2312" w:eastAsia="仿宋_GB2312" w:hAnsi="仿宋_GB2312" w:cs="仿宋_GB2312"/>
          <w:sz w:val="32"/>
          <w:szCs w:val="32"/>
        </w:rPr>
        <w:t>管理的</w:t>
      </w:r>
      <w:r w:rsidRPr="00382B3B">
        <w:rPr>
          <w:rFonts w:ascii="仿宋_GB2312" w:eastAsia="仿宋_GB2312" w:hAnsi="仿宋_GB2312" w:cs="仿宋_GB2312" w:hint="eastAsia"/>
          <w:sz w:val="32"/>
          <w:szCs w:val="32"/>
        </w:rPr>
        <w:t>有关规定</w:t>
      </w:r>
      <w:r w:rsidRPr="00382B3B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执行。</w:t>
      </w:r>
    </w:p>
    <w:p w:rsidR="00D33CB9" w:rsidRPr="00382B3B" w:rsidRDefault="00D33CB9" w:rsidP="00D33CB9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82B3B">
        <w:rPr>
          <w:rFonts w:ascii="仿宋_GB2312" w:eastAsia="仿宋_GB2312" w:hAnsi="仿宋_GB2312" w:cs="仿宋_GB2312" w:hint="eastAsia"/>
          <w:sz w:val="32"/>
          <w:szCs w:val="32"/>
        </w:rPr>
        <w:t>第八条  本标准自发布之日起施行，由</w:t>
      </w:r>
      <w:r w:rsidRPr="00382B3B">
        <w:rPr>
          <w:rFonts w:ascii="仿宋_GB2312" w:eastAsia="仿宋_GB2312" w:hAnsi="仿宋_GB2312" w:cs="仿宋_GB2312"/>
          <w:sz w:val="32"/>
          <w:szCs w:val="32"/>
        </w:rPr>
        <w:t>科技处、财务处</w:t>
      </w:r>
      <w:r w:rsidRPr="00382B3B">
        <w:rPr>
          <w:rFonts w:ascii="仿宋_GB2312" w:eastAsia="仿宋_GB2312" w:hAnsi="仿宋_GB2312" w:cs="仿宋_GB2312" w:hint="eastAsia"/>
          <w:sz w:val="32"/>
          <w:szCs w:val="32"/>
        </w:rPr>
        <w:t>、高精尖中心办公室负责解释。</w:t>
      </w:r>
    </w:p>
    <w:p w:rsidR="003F3AAF" w:rsidRPr="00D33CB9" w:rsidRDefault="003F3AAF">
      <w:pPr>
        <w:ind w:firstLine="640"/>
      </w:pPr>
    </w:p>
    <w:sectPr w:rsidR="003F3AAF" w:rsidRPr="00D33CB9" w:rsidSect="00C9113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B9"/>
    <w:rsid w:val="003F3AAF"/>
    <w:rsid w:val="00C91130"/>
    <w:rsid w:val="00D3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98A0C-F76C-49AF-8787-94D9113D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60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B9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徐加佳</dc:creator>
  <cp:keywords/>
  <dc:description/>
  <cp:lastModifiedBy>徐加佳</cp:lastModifiedBy>
  <cp:revision>1</cp:revision>
  <dcterms:created xsi:type="dcterms:W3CDTF">2017-11-02T09:54:00Z</dcterms:created>
  <dcterms:modified xsi:type="dcterms:W3CDTF">2017-11-02T09:55:00Z</dcterms:modified>
</cp:coreProperties>
</file>